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Паспорт 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инвестиционной площадки</w:t>
      </w:r>
    </w:p>
    <w:p>
      <w:pPr>
        <w:spacing/>
        <w:jc w:val="center"/>
        <w:rPr>
          <w:b/>
        </w:rPr>
      </w:pPr>
      <w:r>
        <w:rPr>
          <w:rFonts w:ascii="Times New Roman" w:hAnsi="Times New Roman"/>
          <w:b/>
          <w:sz w:val="28"/>
        </w:rPr>
        <w:t>Анжеро-Судженск</w:t>
      </w:r>
      <w:r>
        <w:rPr>
          <w:b/>
        </w:rPr>
        <w:t>, площадка ликвидированного ш/у «Сибирское»,</w:t>
      </w:r>
      <w:r>
        <w:rPr>
          <w:b/>
        </w:rPr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Рекомендуемый формат наименования инвестиционной площадки: МО, наименования площадки</w:t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794"/>
        <w:gridCol w:w="6266"/>
      </w:tblGrid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>Инвестиционная площадка П1- производственная зона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(указывается возможное использование </w:t>
            </w:r>
          </w:p>
        </w:tc>
      </w:tr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Строительная промышленность: размещение объектов капитального строительства, предназначенных для производства строительных материалов (кирпичей, пиломатериалов, цемента, крепежных материалов)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600" w:firstRow="0" w:lastRow="0" w:firstColumn="0" w:lastColumn="0" w:noHBand="1" w:noVBand="1"/>
      </w:tblPr>
      <w:tblGrid>
        <w:gridCol w:w="3673"/>
        <w:gridCol w:w="6361"/>
      </w:tblGrid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Кемеровская область-Кузбасс, Анжеро-Судженский городской округ, г. Анжеро-Судженск, в районе промплощадки ликвидированного ш/у "Сибирское"</w:t>
            </w:r>
          </w:p>
        </w:tc>
      </w:tr>
      <w:tr>
        <w:trPr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объектов (в км):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8,5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прямой 0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дорогам общего пользования 0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асфальтовое покрытие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грунтовое покрытие 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Иное___________________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 нет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расстоянии 7,2 км от границы площадки по дорогам общего пользования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км. № полигона в ГРОРО 42-00322-З-00552-070715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823"/>
        <w:gridCol w:w="6237"/>
      </w:tblGrid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проведено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42:20:0000000:1207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5"/>
        <w:gridCol w:w="5665"/>
      </w:tblGrid>
      <w:tr>
        <w:trPr>
          <w:cantSplit w:val="0"/>
          <w:trHeight w:val="284" w:hRule="atLeast"/>
        </w:trPr>
        <w:tc>
          <w:tcPr>
            <w:tcW w:w="43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 в га</w:t>
            </w:r>
          </w:p>
        </w:tc>
        <w:tc>
          <w:tcPr>
            <w:tcW w:w="566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32,6</w:t>
            </w:r>
          </w:p>
        </w:tc>
      </w:tr>
      <w:tr>
        <w:trPr>
          <w:cantSplit w:val="0"/>
          <w:trHeight w:val="324" w:hRule="atLeast"/>
        </w:trPr>
        <w:tc>
          <w:tcPr>
            <w:tcW w:w="43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Возможность расширения</w:t>
            </w:r>
          </w:p>
        </w:tc>
        <w:tc>
          <w:tcPr>
            <w:tcW w:w="566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есть (до 35,8 га)</w:t>
            </w:r>
          </w:p>
        </w:tc>
      </w:tr>
      <w:tr>
        <w:trPr>
          <w:cantSplit w:val="0"/>
          <w:trHeight w:val="652" w:hRule="atLeast"/>
        </w:trPr>
        <w:tc>
          <w:tcPr>
            <w:tcW w:w="43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Стоимость ориентировочная, тыс.руб.</w:t>
            </w:r>
          </w:p>
        </w:tc>
        <w:tc>
          <w:tcPr>
            <w:tcW w:w="566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Приобретения  580 514 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Аренды в месяц 592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1288" w:hRule="atLeast"/>
        </w:trPr>
        <w:tc>
          <w:tcPr>
            <w:tcW w:w="438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Возможные меры поддержки</w:t>
            </w:r>
          </w:p>
        </w:tc>
        <w:tc>
          <w:tcPr>
            <w:tcW w:w="568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ОЭЗ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ФРМ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Другие 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ind w:left="-108" w:firstLine="0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Поставщик ресурса</w:t>
            </w:r>
          </w:p>
        </w:tc>
      </w:tr>
      <w:tr>
        <w:trPr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cantSplit w:val="0"/>
          <w:trHeight w:val="334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Теплоснабжение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Гкал/час 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теплотрасса в границах участка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 w:line="252" w:lineRule="auto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3092,52 руб/ Гкал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АО «Каскад-Энерго»</w:t>
            </w:r>
          </w:p>
        </w:tc>
      </w:tr>
      <w:tr>
        <w:trPr>
          <w:cantSplit w:val="0"/>
          <w:trHeight w:val="289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Электроэнергия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кВт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КТП-90,100кВа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60кВт(без учета строительства новых ТП)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 w:line="252" w:lineRule="auto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 w:line="252" w:lineRule="auto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cantSplit w:val="0"/>
          <w:trHeight w:val="280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Водоснабжение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Ø160мм. Гарантированное давление линии водоснабжения – 1,4атм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Ø160мм. Гарантированное давление линии водоснабжения – 1,4атм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 границе площадки вдоль ул.Автомобилистов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cantSplit w:val="0"/>
          <w:trHeight w:val="264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Водоотведение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Ø150мм.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Ø150мм.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 границе площадки вдоль ул.Автомобилистов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 Основные параметры расположенных на площадке зданий и сооружений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1"/>
      </w:r>
      <w:r>
        <w:rPr>
          <w:rFonts w:ascii="Times New Roman" w:hAnsi="Times New Roman"/>
          <w:b/>
        </w:rPr>
        <w:t xml:space="preserve">: </w:t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сооружения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Площадь, м</w:t>
            </w:r>
            <w:r>
              <w:rPr>
                <w:rFonts w:ascii="Times New Roman" w:hAnsi="Times New Roman"/>
                <w:sz w:val="16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Этажность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Высота этажа, м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Строительный материал конструкции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Состояние, степень износа, %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Возможность расширения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Использование в настоящее время</w:t>
            </w:r>
          </w:p>
        </w:tc>
      </w:tr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</w:tr>
    </w:tbl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 Характеристика доступной ресурсно-сырьевой базы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2"/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7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1527"/>
        <w:gridCol w:w="2835"/>
        <w:gridCol w:w="1844"/>
        <w:gridCol w:w="3857"/>
      </w:tblGrid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Вид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Величина разведанных/ подтвержденных запасов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Статус месторождения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каменный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геологические запасы более 1,5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Яшкинского и Кемеровского районов, от р. Кайгур до г. Анжеро-Судженска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алюминиевые руды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10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железная руда (магнетитовая)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500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междуречье р. Алчедат и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кварциты Антоновской группы месторождений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Пгт. Рудничный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(Китатское месторождение, территория Яйского района, по реке Китат между пос. Улановка и пос. Вознесенка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расположено в 9 км от ст. Анжерская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Яйского, Яшкинского районов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600" w:firstRow="0" w:lastRow="0" w:firstColumn="0" w:lastColumn="0" w:noHBand="1" w:noVBand="1"/>
      </w:tblPr>
      <w:tblGrid>
        <w:gridCol w:w="4395"/>
        <w:gridCol w:w="5670"/>
      </w:tblGrid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0"/>
        <w:gridCol w:w="5670"/>
      </w:tblGrid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Владелец (собственник)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КУМИ администрации Анжеро-Судженского городского округа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лицо: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8-908-930-5042 ; 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138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8" w:history="1">
              <w:r>
                <w:rPr>
                  <w:rStyle w:val="char12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9" w:history="1">
              <w:r>
                <w:rPr>
                  <w:rStyle w:val="char12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1134" w:right="851" w:bottom="1134" w:header="0" w:footer="0"/>
          <w:paperSrc w:first="0" w:other="0" a="0" b="0"/>
          <w:pgNumType w:fmt="decimal" w:start="0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9410700" cy="4419600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extLst>
                        <a:ext uri="sm">
                          <sm:smNativeData xmlns:sm="sm" val="SMDATA_16_Igz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SwEAAAMFAACGAAAAMg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hAAAAB6AAAAAAAAAAAAAAAAAAAAAAAAAAAAAAAAAAAAAAAAAAAAAA5DkAADAb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rcRect l="3310" t="12830" r="1340" b="5620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114300" distR="114300">
            <wp:extent cx="9096375" cy="4533900"/>
            <wp:effectExtent l="0" t="0" r="0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extLst>
                        <a:ext uri="sm">
                          <sm:smNativeData xmlns:sm="sm" val="SMDATA_16_IgzuaB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N4JAAAAAAAAhgY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uAAAAB6AAAAAAAAAAAAAAAAAAAAAAAAAAAAAAAAAAAAAAAAAAAAAA9TcAAOQb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25260" b="16700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114300" distR="114300">
            <wp:extent cx="9353550" cy="5153025"/>
            <wp:effectExtent l="0" t="0" r="0" b="0"/>
            <wp:docPr id="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extLst>
                        <a:ext uri="sm">
                          <sm:smNativeData xmlns:sm="sm" val="SMDATA_16_IgzuaB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sAEAAHgDAAAMDgAAVwc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6AAAAB6AAAAAAAAAAAAAAAAAAAAAAAAAAAAAAAAAAAAAAAAAAAAAAijkAALMf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l="4320" t="8880" r="35960" b="18790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i/>
        </w:rPr>
      </w:pPr>
      <w:r/>
      <w:bookmarkStart w:id="2" w:name="_GoBack"/>
      <w:r/>
      <w:bookmarkEnd w:id="2"/>
      <w:r/>
      <w:r>
        <w:rPr>
          <w:rFonts w:ascii="Times New Roman" w:hAnsi="Times New Roman"/>
          <w:i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Arial">
    <w:charset w:val="00"/>
    <w:family w:val="auto"/>
    <w:pitch w:val="default"/>
  </w:font>
  <w:font w:name="XO Thames">
    <w:charset w:val="00"/>
    <w:family w:val="roman"/>
    <w:pitch w:val="default"/>
  </w:font>
  <w:font w:name="Segoe UI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1">
    <w:p>
      <w:pPr>
        <w:pStyle w:val="para14"/>
      </w:pPr>
      <w:r>
        <w:rPr>
          <w:vertAlign w:val="superscript"/>
        </w:rPr>
      </w:r>
      <w:r>
        <w:rPr>
          <w:vertAlign w:val="superscript"/>
        </w:rPr>
        <w:footnoteRef/>
      </w:r>
      <w:r>
        <w:t xml:space="preserve"> Заполняется по каждому объекту недвижимости </w:t>
      </w:r>
    </w:p>
  </w:footnote>
  <w:footnote w:id="2">
    <w:p>
      <w:pPr>
        <w:pStyle w:val="para14"/>
      </w:pPr>
      <w:r>
        <w:rPr>
          <w:vertAlign w:val="superscript"/>
        </w:rPr>
      </w:r>
      <w:r>
        <w:rPr>
          <w:vertAlign w:val="superscript"/>
        </w:rPr>
        <w:footnoteRef/>
      </w:r>
      <w:r>
        <w:t>Для инвестиционных площадок производственного назначения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2"/>
    <w:tmLastPosSelect w:val="0"/>
    <w:tmLastPosFrameIdx w:val="168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60431138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para6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</w:rPr>
  </w:style>
  <w:style w:type="paragraph" w:styleId="para7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8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</w:rPr>
  </w:style>
  <w:style w:type="paragraph" w:styleId="para9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</w:rPr>
  </w:style>
  <w:style w:type="paragraph" w:styleId="para10">
    <w:name w:val="No Spacing"/>
    <w:qFormat/>
    <w:rPr>
      <w:rFonts w:ascii="Calibri" w:hAnsi="Calibri"/>
      <w:color w:val="000000"/>
      <w:sz w:val="22"/>
    </w:rPr>
  </w:style>
  <w:style w:type="paragraph" w:styleId="para11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para12">
    <w:name w:val="List Paragraph"/>
    <w:qFormat/>
    <w:basedOn w:val="para0"/>
    <w:pPr>
      <w:ind w:left="720"/>
      <w:contextualSpacing/>
    </w:pPr>
  </w:style>
  <w:style w:type="paragraph" w:styleId="para13" w:customStyle="1">
    <w:name w:val="Гиперссылка"/>
    <w:qFormat/>
    <w:basedOn w:val="para8"/>
    <w:rPr>
      <w:color w:val="0563c1"/>
      <w:u w:color="auto" w:val="single"/>
    </w:rPr>
  </w:style>
  <w:style w:type="paragraph" w:styleId="para14" w:customStyle="1">
    <w:name w:val="Footnote"/>
    <w:qFormat/>
    <w:basedOn w:val="para0"/>
    <w:rPr>
      <w:rFonts w:ascii="Times New Roman" w:hAnsi="Times New Roman"/>
      <w:sz w:val="20"/>
    </w:rPr>
  </w:style>
  <w:style w:type="paragraph" w:styleId="para15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</w:rPr>
  </w:style>
  <w:style w:type="paragraph" w:styleId="para16" w:customStyle="1">
    <w:name w:val="Header and Footer"/>
    <w:qFormat/>
    <w:pPr>
      <w:spacing w:after="160"/>
      <w:jc w:val="both"/>
    </w:pPr>
    <w:rPr>
      <w:rFonts w:ascii="XO Thames" w:hAnsi="XO Thames"/>
      <w:color w:val="000000"/>
    </w:rPr>
  </w:style>
  <w:style w:type="paragraph" w:styleId="para17" w:customStyle="1">
    <w:name w:val="Unresolved Mention"/>
    <w:qFormat/>
    <w:basedOn w:val="para8"/>
    <w:rPr>
      <w:color w:val="605e5c"/>
      <w:shd w:val="clear" w:fill="e1dfdd"/>
    </w:rPr>
  </w:style>
  <w:style w:type="paragraph" w:styleId="para18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19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0" w:customStyle="1">
    <w:name w:val="Default"/>
    <w:qFormat/>
    <w:rPr>
      <w:rFonts w:ascii="Times New Roman" w:hAnsi="Times New Roman"/>
      <w:color w:val="000000"/>
      <w:sz w:val="24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para25">
    <w:name w:val="Balloon Text"/>
    <w:qFormat/>
    <w:basedOn w:val="para0"/>
    <w:rPr>
      <w:rFonts w:ascii="Segoe UI" w:hAnsi="Segoe UI"/>
      <w:sz w:val="18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>
    <w:name w:val="Footnote Reference"/>
    <w:rPr>
      <w:vertAlign w:val="superscript"/>
    </w:rPr>
  </w:style>
  <w:style w:type="character" w:styleId="char7" w:customStyle="1">
    <w:name w:val="Оглавление 3"/>
    <w:rPr>
      <w:rFonts w:ascii="XO Thames" w:hAnsi="XO Thames"/>
      <w:sz w:val="28"/>
    </w:rPr>
  </w:style>
  <w:style w:type="character" w:styleId="char8" w:customStyle="1">
    <w:name w:val="Заголовок 5"/>
    <w:rPr>
      <w:rFonts w:ascii="XO Thames" w:hAnsi="XO Thames"/>
      <w:b/>
      <w:sz w:val="22"/>
    </w:rPr>
  </w:style>
  <w:style w:type="character" w:styleId="char9" w:customStyle="1">
    <w:name w:val="Без интервала"/>
  </w:style>
  <w:style w:type="character" w:styleId="char10" w:customStyle="1">
    <w:name w:val="Заголовок 1"/>
    <w:rPr>
      <w:rFonts w:ascii="XO Thames" w:hAnsi="XO Thames"/>
      <w:b/>
      <w:sz w:val="32"/>
    </w:rPr>
  </w:style>
  <w:style w:type="character" w:styleId="char11" w:customStyle="1">
    <w:name w:val="Абзац списка"/>
    <w:basedOnNormal/>
  </w:style>
  <w:style w:type="character" w:styleId="char12">
    <w:name w:val="Hyperlink"/>
    <w:basedOn w:val="char0"/>
    <w:rPr>
      <w:color w:val="0563c1"/>
      <w:u w:color="auto" w:val="single"/>
    </w:rPr>
  </w:style>
  <w:style w:type="character" w:styleId="char13" w:customStyle="1">
    <w:name w:val="Footnote"/>
    <w:basedOnNormal/>
    <w:rPr>
      <w:rFonts w:ascii="Times New Roman" w:hAnsi="Times New Roman"/>
      <w:sz w:val="20"/>
    </w:rPr>
  </w:style>
  <w:style w:type="character" w:styleId="char14" w:customStyle="1">
    <w:name w:val="Оглавление 1"/>
    <w:rPr>
      <w:rFonts w:ascii="XO Thames" w:hAnsi="XO Thames"/>
      <w:b/>
      <w:sz w:val="28"/>
    </w:rPr>
  </w:style>
  <w:style w:type="character" w:styleId="char15" w:customStyle="1">
    <w:name w:val="Header and Footer"/>
    <w:rPr>
      <w:rFonts w:ascii="XO Thames" w:hAnsi="XO Thames"/>
      <w:sz w:val="20"/>
    </w:rPr>
  </w:style>
  <w:style w:type="character" w:styleId="char16" w:customStyle="1">
    <w:name w:val="Unresolved Mention"/>
    <w:basedOn w:val="char0"/>
    <w:rPr>
      <w:color w:val="605e5c"/>
      <w:shd w:val="clear" w:fill="e1dfdd"/>
    </w:rPr>
  </w:style>
  <w:style w:type="character" w:styleId="char17" w:customStyle="1">
    <w:name w:val="Оглавление 9"/>
    <w:rPr>
      <w:rFonts w:ascii="XO Thames" w:hAnsi="XO Thames"/>
      <w:sz w:val="28"/>
    </w:rPr>
  </w:style>
  <w:style w:type="character" w:styleId="char18" w:customStyle="1">
    <w:name w:val="Оглавление 8"/>
    <w:rPr>
      <w:rFonts w:ascii="XO Thames" w:hAnsi="XO Thames"/>
      <w:sz w:val="28"/>
    </w:rPr>
  </w:style>
  <w:style w:type="character" w:styleId="char19" w:customStyle="1">
    <w:name w:val="Default"/>
    <w:rPr>
      <w:rFonts w:ascii="Times New Roman" w:hAnsi="Times New Roman"/>
      <w:color w:val="000000"/>
      <w:sz w:val="24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Текст выноски"/>
    <w:basedOnNormal/>
    <w:rPr>
      <w:rFonts w:ascii="Segoe UI" w:hAnsi="Segoe UI"/>
      <w:sz w:val="18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para6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</w:rPr>
  </w:style>
  <w:style w:type="paragraph" w:styleId="para7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8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</w:rPr>
  </w:style>
  <w:style w:type="paragraph" w:styleId="para9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</w:rPr>
  </w:style>
  <w:style w:type="paragraph" w:styleId="para10">
    <w:name w:val="No Spacing"/>
    <w:qFormat/>
    <w:rPr>
      <w:rFonts w:ascii="Calibri" w:hAnsi="Calibri"/>
      <w:color w:val="000000"/>
      <w:sz w:val="22"/>
    </w:rPr>
  </w:style>
  <w:style w:type="paragraph" w:styleId="para11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para12">
    <w:name w:val="List Paragraph"/>
    <w:qFormat/>
    <w:basedOn w:val="para0"/>
    <w:pPr>
      <w:ind w:left="720"/>
      <w:contextualSpacing/>
    </w:pPr>
  </w:style>
  <w:style w:type="paragraph" w:styleId="para13" w:customStyle="1">
    <w:name w:val="Гиперссылка"/>
    <w:qFormat/>
    <w:basedOn w:val="para8"/>
    <w:rPr>
      <w:color w:val="0563c1"/>
      <w:u w:color="auto" w:val="single"/>
    </w:rPr>
  </w:style>
  <w:style w:type="paragraph" w:styleId="para14" w:customStyle="1">
    <w:name w:val="Footnote"/>
    <w:qFormat/>
    <w:basedOn w:val="para0"/>
    <w:rPr>
      <w:rFonts w:ascii="Times New Roman" w:hAnsi="Times New Roman"/>
      <w:sz w:val="20"/>
    </w:rPr>
  </w:style>
  <w:style w:type="paragraph" w:styleId="para15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</w:rPr>
  </w:style>
  <w:style w:type="paragraph" w:styleId="para16" w:customStyle="1">
    <w:name w:val="Header and Footer"/>
    <w:qFormat/>
    <w:pPr>
      <w:spacing w:after="160"/>
      <w:jc w:val="both"/>
    </w:pPr>
    <w:rPr>
      <w:rFonts w:ascii="XO Thames" w:hAnsi="XO Thames"/>
      <w:color w:val="000000"/>
    </w:rPr>
  </w:style>
  <w:style w:type="paragraph" w:styleId="para17" w:customStyle="1">
    <w:name w:val="Unresolved Mention"/>
    <w:qFormat/>
    <w:basedOn w:val="para8"/>
    <w:rPr>
      <w:color w:val="605e5c"/>
      <w:shd w:val="clear" w:fill="e1dfdd"/>
    </w:rPr>
  </w:style>
  <w:style w:type="paragraph" w:styleId="para18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19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0" w:customStyle="1">
    <w:name w:val="Default"/>
    <w:qFormat/>
    <w:rPr>
      <w:rFonts w:ascii="Times New Roman" w:hAnsi="Times New Roman"/>
      <w:color w:val="000000"/>
      <w:sz w:val="24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para25">
    <w:name w:val="Balloon Text"/>
    <w:qFormat/>
    <w:basedOn w:val="para0"/>
    <w:rPr>
      <w:rFonts w:ascii="Segoe UI" w:hAnsi="Segoe UI"/>
      <w:sz w:val="18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>
    <w:name w:val="Footnote Reference"/>
    <w:rPr>
      <w:vertAlign w:val="superscript"/>
    </w:rPr>
  </w:style>
  <w:style w:type="character" w:styleId="char7" w:customStyle="1">
    <w:name w:val="Оглавление 3"/>
    <w:rPr>
      <w:rFonts w:ascii="XO Thames" w:hAnsi="XO Thames"/>
      <w:sz w:val="28"/>
    </w:rPr>
  </w:style>
  <w:style w:type="character" w:styleId="char8" w:customStyle="1">
    <w:name w:val="Заголовок 5"/>
    <w:rPr>
      <w:rFonts w:ascii="XO Thames" w:hAnsi="XO Thames"/>
      <w:b/>
      <w:sz w:val="22"/>
    </w:rPr>
  </w:style>
  <w:style w:type="character" w:styleId="char9" w:customStyle="1">
    <w:name w:val="Без интервала"/>
  </w:style>
  <w:style w:type="character" w:styleId="char10" w:customStyle="1">
    <w:name w:val="Заголовок 1"/>
    <w:rPr>
      <w:rFonts w:ascii="XO Thames" w:hAnsi="XO Thames"/>
      <w:b/>
      <w:sz w:val="32"/>
    </w:rPr>
  </w:style>
  <w:style w:type="character" w:styleId="char11" w:customStyle="1">
    <w:name w:val="Абзац списка"/>
    <w:basedOnNormal/>
  </w:style>
  <w:style w:type="character" w:styleId="char12">
    <w:name w:val="Hyperlink"/>
    <w:basedOn w:val="char0"/>
    <w:rPr>
      <w:color w:val="0563c1"/>
      <w:u w:color="auto" w:val="single"/>
    </w:rPr>
  </w:style>
  <w:style w:type="character" w:styleId="char13" w:customStyle="1">
    <w:name w:val="Footnote"/>
    <w:basedOnNormal/>
    <w:rPr>
      <w:rFonts w:ascii="Times New Roman" w:hAnsi="Times New Roman"/>
      <w:sz w:val="20"/>
    </w:rPr>
  </w:style>
  <w:style w:type="character" w:styleId="char14" w:customStyle="1">
    <w:name w:val="Оглавление 1"/>
    <w:rPr>
      <w:rFonts w:ascii="XO Thames" w:hAnsi="XO Thames"/>
      <w:b/>
      <w:sz w:val="28"/>
    </w:rPr>
  </w:style>
  <w:style w:type="character" w:styleId="char15" w:customStyle="1">
    <w:name w:val="Header and Footer"/>
    <w:rPr>
      <w:rFonts w:ascii="XO Thames" w:hAnsi="XO Thames"/>
      <w:sz w:val="20"/>
    </w:rPr>
  </w:style>
  <w:style w:type="character" w:styleId="char16" w:customStyle="1">
    <w:name w:val="Unresolved Mention"/>
    <w:basedOn w:val="char0"/>
    <w:rPr>
      <w:color w:val="605e5c"/>
      <w:shd w:val="clear" w:fill="e1dfdd"/>
    </w:rPr>
  </w:style>
  <w:style w:type="character" w:styleId="char17" w:customStyle="1">
    <w:name w:val="Оглавление 9"/>
    <w:rPr>
      <w:rFonts w:ascii="XO Thames" w:hAnsi="XO Thames"/>
      <w:sz w:val="28"/>
    </w:rPr>
  </w:style>
  <w:style w:type="character" w:styleId="char18" w:customStyle="1">
    <w:name w:val="Оглавление 8"/>
    <w:rPr>
      <w:rFonts w:ascii="XO Thames" w:hAnsi="XO Thames"/>
      <w:sz w:val="28"/>
    </w:rPr>
  </w:style>
  <w:style w:type="character" w:styleId="char19" w:customStyle="1">
    <w:name w:val="Default"/>
    <w:rPr>
      <w:rFonts w:ascii="Times New Roman" w:hAnsi="Times New Roman"/>
      <w:color w:val="000000"/>
      <w:sz w:val="24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Текст выноски"/>
    <w:basedOnNormal/>
    <w:rPr>
      <w:rFonts w:ascii="Segoe UI" w:hAnsi="Segoe UI"/>
      <w:sz w:val="18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footnotes" Target="footnotes.xml"/><Relationship Id="rId8" Type="http://schemas.openxmlformats.org/officeDocument/2006/relationships/hyperlink" Target="mailto:upp@anzhero.ru" TargetMode="External"/><Relationship Id="rId9" Type="http://schemas.openxmlformats.org/officeDocument/2006/relationships/hyperlink" Target="mailto:promotdel@anzhero.ru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emf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Arial"/>
        <a:ea typeface="Basic Roman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2025-10-14T08:37:26Z</dcterms:created>
  <dcterms:modified xsi:type="dcterms:W3CDTF">2025-10-14T08:38:58Z</dcterms:modified>
</cp:coreProperties>
</file>